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F7" w:rsidRDefault="00205D27" w:rsidP="00205D27">
      <w:pPr>
        <w:spacing w:after="0"/>
        <w:jc w:val="right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771650" cy="468690"/>
            <wp:effectExtent l="0" t="0" r="0" b="7620"/>
            <wp:docPr id="1" name="Picture 1" descr="C:\Users\Christopher\SkyDrive\Documents\Outlook Docs\Transen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opher\SkyDrive\Documents\Outlook Docs\Transene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6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6F7" w:rsidRDefault="008716F7" w:rsidP="008716F7">
      <w:pPr>
        <w:spacing w:after="0"/>
        <w:rPr>
          <w:sz w:val="24"/>
        </w:rPr>
      </w:pPr>
    </w:p>
    <w:p w:rsidR="008716F7" w:rsidRDefault="008716F7" w:rsidP="008716F7">
      <w:pPr>
        <w:spacing w:after="0"/>
        <w:rPr>
          <w:sz w:val="24"/>
        </w:rPr>
      </w:pPr>
      <w:proofErr w:type="spellStart"/>
      <w:r>
        <w:rPr>
          <w:sz w:val="24"/>
        </w:rPr>
        <w:t>Transene</w:t>
      </w:r>
      <w:proofErr w:type="spellEnd"/>
      <w:r>
        <w:rPr>
          <w:sz w:val="24"/>
        </w:rPr>
        <w:t xml:space="preserve"> Company has been named an authorized distributor of </w:t>
      </w:r>
      <w:proofErr w:type="spellStart"/>
      <w:r>
        <w:rPr>
          <w:sz w:val="24"/>
        </w:rPr>
        <w:t>DisChem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microlithography adhesion promoters/priming agents.  </w:t>
      </w:r>
      <w:proofErr w:type="gramStart"/>
      <w:r>
        <w:rPr>
          <w:sz w:val="24"/>
        </w:rPr>
        <w:t xml:space="preserve">The </w:t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products in combination with </w:t>
      </w:r>
      <w:proofErr w:type="spellStart"/>
      <w:r>
        <w:rPr>
          <w:sz w:val="24"/>
        </w:rPr>
        <w:t>Transene</w:t>
      </w:r>
      <w:proofErr w:type="spellEnd"/>
      <w:r>
        <w:rPr>
          <w:sz w:val="24"/>
        </w:rPr>
        <w:t xml:space="preserve"> photoresists and etchants to provide complete lithography solutions for the most demanding applications.</w:t>
      </w:r>
      <w:proofErr w:type="gramEnd"/>
    </w:p>
    <w:p w:rsidR="008716F7" w:rsidRDefault="008716F7" w:rsidP="008716F7">
      <w:pPr>
        <w:spacing w:after="0"/>
        <w:rPr>
          <w:sz w:val="24"/>
        </w:rPr>
      </w:pPr>
    </w:p>
    <w:p w:rsidR="008716F7" w:rsidRDefault="008716F7" w:rsidP="008716F7">
      <w:pPr>
        <w:spacing w:after="0"/>
        <w:rPr>
          <w:sz w:val="24"/>
        </w:rPr>
      </w:pP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is a waterborn</w:t>
      </w:r>
      <w:r w:rsidR="00205D27">
        <w:rPr>
          <w:sz w:val="24"/>
        </w:rPr>
        <w:t>e</w:t>
      </w:r>
      <w:r>
        <w:rPr>
          <w:sz w:val="24"/>
        </w:rPr>
        <w:t xml:space="preserve"> cationic organic surface active agent designed to promote adhesion and improve overall coating quality on a broad range of substrate materials used in microlithography.  </w:t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promotes adhesion through cationic interaction and modification of the substrate’s surface energy.</w:t>
      </w:r>
    </w:p>
    <w:p w:rsidR="008716F7" w:rsidRDefault="008716F7" w:rsidP="008716F7">
      <w:pPr>
        <w:spacing w:after="0"/>
        <w:rPr>
          <w:sz w:val="24"/>
        </w:rPr>
      </w:pPr>
    </w:p>
    <w:p w:rsidR="00DC54D2" w:rsidRDefault="00DC54D2" w:rsidP="008716F7">
      <w:pPr>
        <w:spacing w:after="0"/>
        <w:rPr>
          <w:sz w:val="24"/>
        </w:rPr>
      </w:pPr>
    </w:p>
    <w:p w:rsidR="008716F7" w:rsidRDefault="008716F7" w:rsidP="008716F7">
      <w:pPr>
        <w:spacing w:after="0"/>
        <w:jc w:val="center"/>
        <w:rPr>
          <w:sz w:val="24"/>
        </w:rPr>
      </w:pPr>
      <w:r>
        <w:rPr>
          <w:b/>
          <w:sz w:val="24"/>
        </w:rPr>
        <w:t>ADVANTAGES IN LITHOGRAPHIC PROCESSING:</w:t>
      </w:r>
    </w:p>
    <w:p w:rsidR="008716F7" w:rsidRDefault="008716F7" w:rsidP="008716F7">
      <w:pPr>
        <w:spacing w:after="0"/>
        <w:rPr>
          <w:sz w:val="24"/>
        </w:rPr>
      </w:pPr>
    </w:p>
    <w:p w:rsidR="008716F7" w:rsidRDefault="008716F7" w:rsidP="008716F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Improved resist, polymer, and metal adhesion on a broad range of substrate materials</w:t>
      </w:r>
    </w:p>
    <w:p w:rsidR="008716F7" w:rsidRDefault="008716F7" w:rsidP="008716F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Improved patterned resist mold to copper seed layer for subsequent electroforming</w:t>
      </w:r>
    </w:p>
    <w:p w:rsidR="008716F7" w:rsidRDefault="008716F7" w:rsidP="008716F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Increased adhesion of evaporated metals to substrate materials</w:t>
      </w:r>
    </w:p>
    <w:p w:rsidR="008716F7" w:rsidRDefault="008716F7" w:rsidP="008716F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Improved removal of critical substrate contaminants</w:t>
      </w:r>
    </w:p>
    <w:p w:rsidR="008716F7" w:rsidRDefault="008716F7" w:rsidP="008716F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Reduction of EBL exposure energy for minimizing BSE emission, reducing exposure time</w:t>
      </w:r>
    </w:p>
    <w:p w:rsidR="008716F7" w:rsidRDefault="008716F7" w:rsidP="008716F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Reduced z-potential for improved coating properties</w:t>
      </w:r>
    </w:p>
    <w:p w:rsidR="008716F7" w:rsidRDefault="008716F7" w:rsidP="008716F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May eliminate the need for thermally matched glass</w:t>
      </w:r>
    </w:p>
    <w:p w:rsidR="008716F7" w:rsidRDefault="008716F7" w:rsidP="008716F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Replaces pre-wetting solvents</w:t>
      </w:r>
    </w:p>
    <w:p w:rsidR="008716F7" w:rsidRDefault="008716F7" w:rsidP="008716F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Eliminates the need for substrate dehydration bake prior to processing</w:t>
      </w:r>
    </w:p>
    <w:p w:rsidR="008716F7" w:rsidRDefault="008716F7" w:rsidP="008716F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Non-hazardous waterborne formulation</w:t>
      </w:r>
    </w:p>
    <w:p w:rsidR="008716F7" w:rsidRDefault="008716F7" w:rsidP="008716F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No VOC or hazardous breakdown products</w:t>
      </w:r>
    </w:p>
    <w:p w:rsidR="008716F7" w:rsidRDefault="008716F7" w:rsidP="008716F7">
      <w:pPr>
        <w:spacing w:after="0"/>
        <w:rPr>
          <w:sz w:val="24"/>
        </w:rPr>
      </w:pPr>
    </w:p>
    <w:p w:rsidR="00DC54D2" w:rsidRDefault="00DC54D2" w:rsidP="008716F7">
      <w:pPr>
        <w:spacing w:after="0"/>
        <w:rPr>
          <w:sz w:val="24"/>
        </w:rPr>
      </w:pPr>
    </w:p>
    <w:p w:rsidR="008716F7" w:rsidRDefault="008716F7" w:rsidP="008716F7">
      <w:pPr>
        <w:spacing w:after="0"/>
        <w:jc w:val="center"/>
        <w:rPr>
          <w:sz w:val="24"/>
        </w:rPr>
      </w:pPr>
      <w:r>
        <w:rPr>
          <w:b/>
          <w:sz w:val="24"/>
        </w:rPr>
        <w:t>SUBSTRATE COMPATIBILITY</w:t>
      </w:r>
    </w:p>
    <w:p w:rsidR="008716F7" w:rsidRDefault="008716F7" w:rsidP="008716F7">
      <w:pPr>
        <w:spacing w:after="0"/>
        <w:rPr>
          <w:sz w:val="24"/>
        </w:rPr>
      </w:pPr>
    </w:p>
    <w:p w:rsidR="008716F7" w:rsidRDefault="008716F7" w:rsidP="008716F7">
      <w:pPr>
        <w:spacing w:after="0"/>
        <w:rPr>
          <w:sz w:val="24"/>
        </w:rPr>
      </w:pP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exhibits excellent adhesion properties on a wide range of substrate materials including glass, silicon nitride, metals, metal oxides, ceramics (ruby, sapphire), and plastics such as PET.</w:t>
      </w:r>
    </w:p>
    <w:p w:rsidR="00205D27" w:rsidRDefault="00205D27" w:rsidP="008716F7">
      <w:pPr>
        <w:spacing w:after="0"/>
        <w:rPr>
          <w:sz w:val="24"/>
        </w:rPr>
      </w:pPr>
    </w:p>
    <w:p w:rsidR="00205D27" w:rsidRDefault="00205D27" w:rsidP="008716F7">
      <w:pPr>
        <w:spacing w:after="0"/>
        <w:rPr>
          <w:sz w:val="24"/>
        </w:rPr>
      </w:pPr>
    </w:p>
    <w:p w:rsidR="00205D27" w:rsidRDefault="00205D27" w:rsidP="00205D27">
      <w:pPr>
        <w:tabs>
          <w:tab w:val="left" w:pos="7650"/>
        </w:tabs>
        <w:spacing w:after="0"/>
        <w:rPr>
          <w:sz w:val="24"/>
        </w:rPr>
      </w:pPr>
      <w:bookmarkStart w:id="0" w:name="_GoBack"/>
      <w:bookmarkEnd w:id="0"/>
    </w:p>
    <w:p w:rsidR="00205D27" w:rsidRDefault="00205D27" w:rsidP="00205D27">
      <w:pPr>
        <w:tabs>
          <w:tab w:val="left" w:pos="7650"/>
        </w:tabs>
        <w:spacing w:after="0"/>
        <w:jc w:val="right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1980248" cy="523875"/>
            <wp:effectExtent l="0" t="0" r="1270" b="0"/>
            <wp:docPr id="5" name="Picture 5" descr="C:\Users\Christopher\SkyDrive\Documents\Outlook Docs\Transen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ristopher\SkyDrive\Documents\Outlook Docs\Transene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248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27" w:rsidRDefault="00205D27" w:rsidP="008716F7">
      <w:pPr>
        <w:spacing w:after="0"/>
        <w:rPr>
          <w:sz w:val="24"/>
        </w:rPr>
      </w:pPr>
    </w:p>
    <w:p w:rsidR="008716F7" w:rsidRDefault="008716F7" w:rsidP="008716F7">
      <w:pPr>
        <w:spacing w:after="0"/>
        <w:jc w:val="center"/>
        <w:rPr>
          <w:sz w:val="24"/>
        </w:rPr>
      </w:pPr>
      <w:r>
        <w:rPr>
          <w:b/>
          <w:sz w:val="24"/>
        </w:rPr>
        <w:t>RESIST AND POLYMER COMPATIBILITY</w:t>
      </w:r>
    </w:p>
    <w:p w:rsidR="008716F7" w:rsidRDefault="008716F7" w:rsidP="008716F7">
      <w:pPr>
        <w:spacing w:after="0"/>
        <w:rPr>
          <w:sz w:val="24"/>
        </w:rPr>
      </w:pP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is compatible with most positive and negative resists and polymer formulations, providing excellent adhesion when used in conjunction with phenolic resin </w:t>
      </w:r>
      <w:proofErr w:type="spellStart"/>
      <w:r>
        <w:rPr>
          <w:sz w:val="24"/>
        </w:rPr>
        <w:t>Novolak</w:t>
      </w:r>
      <w:proofErr w:type="spellEnd"/>
      <w:r>
        <w:rPr>
          <w:sz w:val="24"/>
        </w:rPr>
        <w:t xml:space="preserve"> resist (DNQ/</w:t>
      </w:r>
      <w:proofErr w:type="spellStart"/>
      <w:r>
        <w:rPr>
          <w:sz w:val="24"/>
        </w:rPr>
        <w:t>Novolac</w:t>
      </w:r>
      <w:proofErr w:type="spellEnd"/>
      <w:r>
        <w:rPr>
          <w:sz w:val="24"/>
        </w:rPr>
        <w:t xml:space="preserve">/ma-N2400/Shipley 1800), </w:t>
      </w:r>
      <w:proofErr w:type="spellStart"/>
      <w:r>
        <w:rPr>
          <w:sz w:val="24"/>
        </w:rPr>
        <w:t>polymethyl</w:t>
      </w:r>
      <w:proofErr w:type="spellEnd"/>
      <w:r>
        <w:rPr>
          <w:sz w:val="24"/>
        </w:rPr>
        <w:t xml:space="preserve"> methacrylate (PMMA), </w:t>
      </w:r>
      <w:proofErr w:type="spellStart"/>
      <w:r>
        <w:rPr>
          <w:sz w:val="24"/>
        </w:rPr>
        <w:t>polymethyl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glutarimide</w:t>
      </w:r>
      <w:proofErr w:type="spellEnd"/>
      <w:r>
        <w:rPr>
          <w:sz w:val="24"/>
        </w:rPr>
        <w:t xml:space="preserve"> (PMGI), epoxy based polymers (SU8), polyimide, electron beam resists (including HSQ), chemically and non-chemically amplified photoresist.</w:t>
      </w:r>
    </w:p>
    <w:p w:rsidR="008716F7" w:rsidRDefault="008716F7" w:rsidP="008716F7">
      <w:pPr>
        <w:spacing w:after="0"/>
        <w:rPr>
          <w:sz w:val="24"/>
        </w:rPr>
      </w:pPr>
    </w:p>
    <w:p w:rsidR="008716F7" w:rsidRDefault="008716F7" w:rsidP="008716F7">
      <w:pPr>
        <w:spacing w:after="0"/>
        <w:jc w:val="center"/>
        <w:rPr>
          <w:sz w:val="24"/>
        </w:rPr>
      </w:pPr>
      <w:r>
        <w:rPr>
          <w:b/>
          <w:sz w:val="24"/>
        </w:rPr>
        <w:t>ENHANCED COATING PROPERTIES</w:t>
      </w:r>
    </w:p>
    <w:p w:rsidR="008716F7" w:rsidRDefault="008716F7" w:rsidP="008716F7">
      <w:pPr>
        <w:spacing w:after="0"/>
        <w:rPr>
          <w:sz w:val="24"/>
        </w:rPr>
      </w:pPr>
    </w:p>
    <w:p w:rsidR="008716F7" w:rsidRDefault="008716F7" w:rsidP="008716F7">
      <w:pPr>
        <w:spacing w:after="0"/>
        <w:rPr>
          <w:sz w:val="24"/>
        </w:rPr>
      </w:pPr>
      <w:r>
        <w:rPr>
          <w:sz w:val="24"/>
        </w:rPr>
        <w:t xml:space="preserve">In addition to promoting adhesion, </w:t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modifies the available surface energy to provide a more uniform coating surface for improved resist flow.  Evidence suggests that </w:t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may be used in polyimide processing both to improve performance and reduce material consumption through reduced zeta potential.  </w:t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provides improved coating flow and uniformity even where resist/polymer adhesion is not an issue.</w:t>
      </w:r>
    </w:p>
    <w:p w:rsidR="008716F7" w:rsidRDefault="008716F7" w:rsidP="008716F7">
      <w:pPr>
        <w:spacing w:after="0"/>
        <w:rPr>
          <w:sz w:val="24"/>
        </w:rPr>
      </w:pPr>
    </w:p>
    <w:p w:rsidR="008716F7" w:rsidRDefault="008716F7" w:rsidP="008716F7">
      <w:pPr>
        <w:spacing w:after="0"/>
        <w:jc w:val="center"/>
        <w:rPr>
          <w:sz w:val="24"/>
        </w:rPr>
      </w:pPr>
      <w:proofErr w:type="spellStart"/>
      <w:r>
        <w:rPr>
          <w:b/>
          <w:sz w:val="24"/>
        </w:rPr>
        <w:t>SurPass</w:t>
      </w:r>
      <w:proofErr w:type="spellEnd"/>
      <w:r>
        <w:rPr>
          <w:b/>
          <w:sz w:val="24"/>
        </w:rPr>
        <w:t xml:space="preserve"> FORMULATION AND PROPERTIES</w:t>
      </w:r>
    </w:p>
    <w:p w:rsidR="008716F7" w:rsidRDefault="008716F7" w:rsidP="008716F7">
      <w:pPr>
        <w:spacing w:after="0"/>
        <w:rPr>
          <w:sz w:val="24"/>
        </w:rPr>
      </w:pPr>
    </w:p>
    <w:p w:rsidR="008716F7" w:rsidRDefault="008E2E3C" w:rsidP="008716F7">
      <w:pPr>
        <w:spacing w:after="0"/>
        <w:rPr>
          <w:sz w:val="24"/>
        </w:rPr>
      </w:pP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is manufactured in two versions—3000 and 4000.  Both variants of </w:t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are waterborne, non-hazardous, and contain no volatile organic compounds (VOC).  The produce no ammonia or other breakdown products during application and are non-corrosive.</w:t>
      </w:r>
    </w:p>
    <w:p w:rsidR="008E2E3C" w:rsidRDefault="008E2E3C" w:rsidP="008716F7">
      <w:pPr>
        <w:spacing w:after="0"/>
        <w:rPr>
          <w:sz w:val="24"/>
        </w:rPr>
      </w:pPr>
    </w:p>
    <w:p w:rsidR="008E2E3C" w:rsidRDefault="008E2E3C" w:rsidP="008716F7">
      <w:pPr>
        <w:spacing w:after="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3000:  Aqueous, mildly acidic (pH 2.5-3.5) and contains a cleaning and surfactant package for removal of critical contaminants while optimizing surface energy for improved resist adhesion.  </w:t>
      </w:r>
      <w:proofErr w:type="gramStart"/>
      <w:r>
        <w:rPr>
          <w:sz w:val="24"/>
        </w:rPr>
        <w:t>May be used as an ultrasonic cleaning solution for combining cleaning with improved adhesion.</w:t>
      </w:r>
      <w:proofErr w:type="gramEnd"/>
      <w:r>
        <w:rPr>
          <w:sz w:val="24"/>
        </w:rPr>
        <w:t xml:space="preserve">  Water rinse after application may be followed by IPA rinse to minimize dry time.</w:t>
      </w:r>
    </w:p>
    <w:p w:rsidR="008E2E3C" w:rsidRDefault="008E2E3C" w:rsidP="008716F7">
      <w:pPr>
        <w:spacing w:after="0"/>
        <w:rPr>
          <w:sz w:val="24"/>
        </w:rPr>
      </w:pPr>
    </w:p>
    <w:p w:rsidR="008E2E3C" w:rsidRDefault="008E2E3C" w:rsidP="008716F7">
      <w:pPr>
        <w:spacing w:after="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4000:  Aqueous, slightly alkaline (pH 9.0-10.0) and contains no additives.  </w:t>
      </w:r>
      <w:proofErr w:type="gramStart"/>
      <w:r>
        <w:rPr>
          <w:sz w:val="24"/>
        </w:rPr>
        <w:t>Broad range substrate-resist compatibility.</w:t>
      </w:r>
      <w:proofErr w:type="gramEnd"/>
      <w:r>
        <w:rPr>
          <w:sz w:val="24"/>
        </w:rPr>
        <w:t xml:space="preserve">  Rinse with water or IPA.  </w:t>
      </w:r>
      <w:proofErr w:type="gramStart"/>
      <w:r>
        <w:rPr>
          <w:sz w:val="24"/>
        </w:rPr>
        <w:t>Excellent for improving adhesion of patterned resist mold on copper seed layer and other substrates for subsequent plating or bonding properties.</w:t>
      </w:r>
      <w:proofErr w:type="gramEnd"/>
    </w:p>
    <w:p w:rsidR="008E2E3C" w:rsidRDefault="008E2E3C" w:rsidP="008716F7">
      <w:pPr>
        <w:spacing w:after="0"/>
        <w:rPr>
          <w:sz w:val="24"/>
        </w:rPr>
      </w:pPr>
    </w:p>
    <w:p w:rsidR="00205D27" w:rsidRDefault="00205D27" w:rsidP="00205D27">
      <w:pPr>
        <w:spacing w:after="0"/>
        <w:jc w:val="right"/>
        <w:rPr>
          <w:sz w:val="24"/>
        </w:rPr>
      </w:pPr>
    </w:p>
    <w:p w:rsidR="00205D27" w:rsidRDefault="00205D27" w:rsidP="00205D27">
      <w:pPr>
        <w:spacing w:after="0"/>
        <w:jc w:val="right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1800225" cy="476250"/>
            <wp:effectExtent l="0" t="0" r="9525" b="0"/>
            <wp:docPr id="3" name="Picture 3" descr="C:\Users\Christopher\SkyDrive\Documents\Outlook Docs\Transen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ristopher\SkyDrive\Documents\Outlook Docs\Transene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27" w:rsidRDefault="00205D27" w:rsidP="008716F7">
      <w:pPr>
        <w:spacing w:after="0"/>
        <w:rPr>
          <w:sz w:val="24"/>
        </w:rPr>
      </w:pPr>
    </w:p>
    <w:p w:rsidR="008E2E3C" w:rsidRDefault="008E2E3C" w:rsidP="008E2E3C">
      <w:pPr>
        <w:spacing w:after="0"/>
        <w:jc w:val="center"/>
        <w:rPr>
          <w:sz w:val="24"/>
        </w:rPr>
      </w:pPr>
      <w:r>
        <w:rPr>
          <w:b/>
          <w:sz w:val="24"/>
        </w:rPr>
        <w:t xml:space="preserve">SELECTION OF APPROPRIATE </w:t>
      </w:r>
      <w:proofErr w:type="spellStart"/>
      <w:r>
        <w:rPr>
          <w:b/>
          <w:sz w:val="24"/>
        </w:rPr>
        <w:t>SurPass</w:t>
      </w:r>
      <w:proofErr w:type="spellEnd"/>
      <w:r>
        <w:rPr>
          <w:b/>
          <w:sz w:val="24"/>
        </w:rPr>
        <w:t xml:space="preserve"> PRIMER</w:t>
      </w:r>
    </w:p>
    <w:p w:rsidR="008E2E3C" w:rsidRDefault="008E2E3C" w:rsidP="008E2E3C">
      <w:pPr>
        <w:spacing w:after="0"/>
        <w:rPr>
          <w:sz w:val="24"/>
        </w:rPr>
      </w:pPr>
    </w:p>
    <w:p w:rsidR="008E2E3C" w:rsidRDefault="008E2E3C" w:rsidP="008E2E3C">
      <w:pPr>
        <w:spacing w:after="0"/>
        <w:rPr>
          <w:sz w:val="24"/>
        </w:rPr>
      </w:pPr>
      <w:r>
        <w:rPr>
          <w:sz w:val="24"/>
        </w:rPr>
        <w:t xml:space="preserve">There are several variables to consider when selecting the </w:t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formula best suited to a specific process.  These include the type of resist used, the substrate surface material, and post resist exposure requirements.  In general, </w:t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3000 is recommended for use with epoxy resists (SU-8) and HSQ e-beam resists while </w:t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4000 is ideal for promoting adhesion of </w:t>
      </w:r>
      <w:proofErr w:type="spellStart"/>
      <w:r>
        <w:rPr>
          <w:sz w:val="24"/>
        </w:rPr>
        <w:t>novolac</w:t>
      </w:r>
      <w:proofErr w:type="spellEnd"/>
      <w:r>
        <w:rPr>
          <w:sz w:val="24"/>
        </w:rPr>
        <w:t xml:space="preserve"> resists (ma-N 1400, ma-N 2400, S-1800, etc.).  Initial evaluation of </w:t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primers will ideally include comparison of both type 3000 and 4000 to account for process variables that may be further optimized by one formula or the other.</w:t>
      </w:r>
    </w:p>
    <w:p w:rsidR="008E2E3C" w:rsidRDefault="008E2E3C" w:rsidP="008E2E3C">
      <w:pPr>
        <w:spacing w:after="0"/>
        <w:rPr>
          <w:sz w:val="24"/>
        </w:rPr>
      </w:pPr>
    </w:p>
    <w:p w:rsidR="008E2E3C" w:rsidRDefault="008E2E3C" w:rsidP="008E2E3C">
      <w:pPr>
        <w:spacing w:after="0"/>
        <w:jc w:val="center"/>
        <w:rPr>
          <w:sz w:val="24"/>
        </w:rPr>
      </w:pPr>
      <w:r>
        <w:rPr>
          <w:b/>
          <w:sz w:val="24"/>
        </w:rPr>
        <w:t>USE AND APPLICATION</w:t>
      </w:r>
    </w:p>
    <w:p w:rsidR="008E2E3C" w:rsidRDefault="008E2E3C" w:rsidP="008E2E3C">
      <w:pPr>
        <w:spacing w:after="0"/>
        <w:rPr>
          <w:sz w:val="24"/>
        </w:rPr>
      </w:pPr>
    </w:p>
    <w:p w:rsidR="008E2E3C" w:rsidRDefault="008E2E3C" w:rsidP="008E2E3C">
      <w:pPr>
        <w:spacing w:after="0"/>
        <w:rPr>
          <w:sz w:val="24"/>
        </w:rPr>
      </w:pP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may be applied by spin coating, dip/immersion, spray, or any other means that allows for a coat-rinse-dry cycle followed by application of the resist or other material.  </w:t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3000 is especially suited for bulk processing and may be used with ultrasonic agitation to combine final cleaning with adhesion priming.  </w:t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eliminates the need for a substrate dehydration bake prior to processing.</w:t>
      </w:r>
    </w:p>
    <w:p w:rsidR="008E2E3C" w:rsidRDefault="008E2E3C" w:rsidP="008E2E3C">
      <w:pPr>
        <w:spacing w:after="0"/>
        <w:rPr>
          <w:sz w:val="24"/>
        </w:rPr>
      </w:pPr>
    </w:p>
    <w:p w:rsidR="008E2E3C" w:rsidRDefault="008E2E3C" w:rsidP="008E2E3C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Spin coat at 3000 RPM for 30 seconds</w:t>
      </w:r>
    </w:p>
    <w:p w:rsidR="008E2E3C" w:rsidRDefault="008E2E3C" w:rsidP="008E2E3C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Water rinse (</w:t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3000, </w:t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4000) or IPA rinse (</w:t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4000)</w:t>
      </w:r>
    </w:p>
    <w:p w:rsidR="008E2E3C" w:rsidRDefault="008E2E3C" w:rsidP="008E2E3C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Dry:  Spin dry or dry nitrogen stream</w:t>
      </w:r>
    </w:p>
    <w:p w:rsidR="008E2E3C" w:rsidRDefault="008E2E3C" w:rsidP="008E2E3C">
      <w:pPr>
        <w:spacing w:after="0"/>
        <w:rPr>
          <w:sz w:val="24"/>
        </w:rPr>
      </w:pPr>
    </w:p>
    <w:p w:rsidR="008E2E3C" w:rsidRDefault="008E2E3C" w:rsidP="008E2E3C">
      <w:pPr>
        <w:spacing w:after="0"/>
        <w:jc w:val="center"/>
        <w:rPr>
          <w:sz w:val="24"/>
        </w:rPr>
      </w:pPr>
      <w:r>
        <w:rPr>
          <w:b/>
          <w:sz w:val="24"/>
        </w:rPr>
        <w:t>IMMERSION/ULTRASONIC/BATCH PROCESSING</w:t>
      </w:r>
    </w:p>
    <w:p w:rsidR="008E2E3C" w:rsidRDefault="008E2E3C" w:rsidP="008E2E3C">
      <w:pPr>
        <w:spacing w:after="0"/>
        <w:rPr>
          <w:sz w:val="24"/>
        </w:rPr>
      </w:pPr>
    </w:p>
    <w:p w:rsidR="008E2E3C" w:rsidRDefault="008E2E3C" w:rsidP="008E2E3C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 Clean substrate, normal cycle.  Separate wet chemical cleaning can be eliminated when using </w:t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3000 with ultrasonic agitation.  No dehydration bake is needed.</w:t>
      </w:r>
    </w:p>
    <w:p w:rsidR="008E2E3C" w:rsidRDefault="008E2E3C" w:rsidP="008E2E3C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Immerse substrates in </w:t>
      </w:r>
      <w:proofErr w:type="spellStart"/>
      <w:r>
        <w:rPr>
          <w:sz w:val="24"/>
        </w:rPr>
        <w:t>SurPass</w:t>
      </w:r>
      <w:proofErr w:type="spellEnd"/>
      <w:r>
        <w:rPr>
          <w:sz w:val="24"/>
        </w:rPr>
        <w:t xml:space="preserve"> bath for 30-60 seconds.</w:t>
      </w:r>
    </w:p>
    <w:p w:rsidR="008E2E3C" w:rsidRDefault="008E2E3C" w:rsidP="008E2E3C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DI water rinse.</w:t>
      </w:r>
    </w:p>
    <w:p w:rsidR="008E2E3C" w:rsidRDefault="008E2E3C" w:rsidP="008E2E3C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Dry via spin or nitrogen stream.</w:t>
      </w:r>
    </w:p>
    <w:p w:rsidR="00205D27" w:rsidRDefault="00205D27" w:rsidP="008E2E3C">
      <w:pPr>
        <w:spacing w:after="0"/>
        <w:rPr>
          <w:sz w:val="24"/>
        </w:rPr>
      </w:pPr>
    </w:p>
    <w:p w:rsidR="008E2E3C" w:rsidRDefault="008E2E3C" w:rsidP="008E2E3C">
      <w:pPr>
        <w:spacing w:after="0"/>
        <w:jc w:val="center"/>
        <w:rPr>
          <w:sz w:val="24"/>
        </w:rPr>
      </w:pPr>
      <w:r>
        <w:rPr>
          <w:b/>
          <w:sz w:val="24"/>
        </w:rPr>
        <w:t>EQUIPMENT REQUIREMENTS</w:t>
      </w:r>
    </w:p>
    <w:p w:rsidR="008E2E3C" w:rsidRDefault="008E2E3C" w:rsidP="008E2E3C">
      <w:pPr>
        <w:spacing w:after="0"/>
        <w:rPr>
          <w:sz w:val="24"/>
        </w:rPr>
      </w:pPr>
    </w:p>
    <w:p w:rsidR="008E2E3C" w:rsidRDefault="008E2E3C" w:rsidP="008E2E3C">
      <w:pPr>
        <w:spacing w:after="0"/>
        <w:rPr>
          <w:sz w:val="24"/>
        </w:rPr>
      </w:pPr>
      <w:r>
        <w:rPr>
          <w:sz w:val="24"/>
        </w:rPr>
        <w:t>Polypropylene or high density polyethylene recommended</w:t>
      </w:r>
      <w:r w:rsidR="00205D27">
        <w:rPr>
          <w:sz w:val="24"/>
        </w:rPr>
        <w:t>.</w:t>
      </w:r>
    </w:p>
    <w:p w:rsidR="008E2E3C" w:rsidRPr="008E2E3C" w:rsidRDefault="008E2E3C" w:rsidP="008E2E3C">
      <w:pPr>
        <w:spacing w:after="0"/>
        <w:rPr>
          <w:sz w:val="24"/>
        </w:rPr>
      </w:pPr>
      <w:r>
        <w:rPr>
          <w:sz w:val="24"/>
        </w:rPr>
        <w:t xml:space="preserve">Filtration:  Use of hydrophilic </w:t>
      </w:r>
      <w:proofErr w:type="spellStart"/>
      <w:r>
        <w:rPr>
          <w:sz w:val="24"/>
        </w:rPr>
        <w:t>ultra high</w:t>
      </w:r>
      <w:proofErr w:type="spellEnd"/>
      <w:r>
        <w:rPr>
          <w:sz w:val="24"/>
        </w:rPr>
        <w:t xml:space="preserve"> density polyethylene or equivalent is recommended.</w:t>
      </w:r>
      <w:r w:rsidR="005F5130">
        <w:rPr>
          <w:sz w:val="24"/>
        </w:rPr>
        <w:t xml:space="preserve">  Most filters designed for use with DI water are adequate.  </w:t>
      </w:r>
      <w:proofErr w:type="spellStart"/>
      <w:r w:rsidR="005F5130">
        <w:rPr>
          <w:sz w:val="24"/>
        </w:rPr>
        <w:t>SurPass</w:t>
      </w:r>
      <w:proofErr w:type="spellEnd"/>
      <w:r w:rsidR="005F5130">
        <w:rPr>
          <w:sz w:val="24"/>
        </w:rPr>
        <w:t xml:space="preserve"> is pre-filtered to 0.45 </w:t>
      </w:r>
      <w:r w:rsidR="005F5130" w:rsidRPr="005F5130">
        <w:rPr>
          <w:rFonts w:ascii="Symbol" w:hAnsi="Symbol"/>
          <w:sz w:val="24"/>
        </w:rPr>
        <w:t></w:t>
      </w:r>
      <w:r w:rsidR="005F5130">
        <w:rPr>
          <w:sz w:val="24"/>
        </w:rPr>
        <w:t>m.</w:t>
      </w:r>
    </w:p>
    <w:sectPr w:rsidR="008E2E3C" w:rsidRPr="008E2E3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4D2" w:rsidRDefault="00DC54D2" w:rsidP="00DC54D2">
      <w:pPr>
        <w:spacing w:after="0" w:line="240" w:lineRule="auto"/>
      </w:pPr>
      <w:r>
        <w:separator/>
      </w:r>
    </w:p>
  </w:endnote>
  <w:endnote w:type="continuationSeparator" w:id="0">
    <w:p w:rsidR="00DC54D2" w:rsidRDefault="00DC54D2" w:rsidP="00DC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4D2" w:rsidRDefault="00DC54D2">
    <w:pPr>
      <w:pStyle w:val="Footer"/>
    </w:pPr>
    <w:proofErr w:type="spellStart"/>
    <w:r>
      <w:t>Transene</w:t>
    </w:r>
    <w:proofErr w:type="spellEnd"/>
    <w:r>
      <w:t xml:space="preserve"> Company, Inc. 10 Electronics Avenue Danvers </w:t>
    </w:r>
    <w:proofErr w:type="gramStart"/>
    <w:r>
      <w:t>MA  978</w:t>
    </w:r>
    <w:proofErr w:type="gramEnd"/>
    <w:r>
      <w:t xml:space="preserve"> 777 7860   www.transene.com</w:t>
    </w:r>
  </w:p>
  <w:p w:rsidR="00DC54D2" w:rsidRDefault="00DC54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4D2" w:rsidRDefault="00DC54D2" w:rsidP="00DC54D2">
      <w:pPr>
        <w:spacing w:after="0" w:line="240" w:lineRule="auto"/>
      </w:pPr>
      <w:r>
        <w:separator/>
      </w:r>
    </w:p>
  </w:footnote>
  <w:footnote w:type="continuationSeparator" w:id="0">
    <w:p w:rsidR="00DC54D2" w:rsidRDefault="00DC54D2" w:rsidP="00DC5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95BDF"/>
    <w:multiLevelType w:val="hybridMultilevel"/>
    <w:tmpl w:val="F3383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A5556"/>
    <w:multiLevelType w:val="hybridMultilevel"/>
    <w:tmpl w:val="FBDA7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D2893"/>
    <w:multiLevelType w:val="hybridMultilevel"/>
    <w:tmpl w:val="B19C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F7"/>
    <w:rsid w:val="00205D27"/>
    <w:rsid w:val="005F5130"/>
    <w:rsid w:val="008716F7"/>
    <w:rsid w:val="008E2E3C"/>
    <w:rsid w:val="00CE2D59"/>
    <w:rsid w:val="00DC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6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4D2"/>
  </w:style>
  <w:style w:type="paragraph" w:styleId="Footer">
    <w:name w:val="footer"/>
    <w:basedOn w:val="Normal"/>
    <w:link w:val="FooterChar"/>
    <w:uiPriority w:val="99"/>
    <w:unhideWhenUsed/>
    <w:rsid w:val="00DC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6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4D2"/>
  </w:style>
  <w:style w:type="paragraph" w:styleId="Footer">
    <w:name w:val="footer"/>
    <w:basedOn w:val="Normal"/>
    <w:link w:val="FooterChar"/>
    <w:uiPriority w:val="99"/>
    <w:unhideWhenUsed/>
    <w:rsid w:val="00DC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Christopher</cp:lastModifiedBy>
  <cp:revision>4</cp:revision>
  <dcterms:created xsi:type="dcterms:W3CDTF">2016-05-27T17:33:00Z</dcterms:created>
  <dcterms:modified xsi:type="dcterms:W3CDTF">2016-05-27T18:04:00Z</dcterms:modified>
</cp:coreProperties>
</file>